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0546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910546">
        <w:rPr>
          <w:rFonts w:ascii="Times New Roman" w:hAnsi="Times New Roman"/>
          <w:sz w:val="24"/>
          <w:szCs w:val="24"/>
        </w:rPr>
        <w:t xml:space="preserve"> случайные функции (</w:t>
      </w:r>
      <w:r w:rsidR="00910546">
        <w:rPr>
          <w:rFonts w:ascii="Times New Roman" w:hAnsi="Times New Roman"/>
          <w:sz w:val="24"/>
          <w:szCs w:val="24"/>
          <w:lang w:val="en-US"/>
        </w:rPr>
        <w:t>Gaussian</w:t>
      </w:r>
      <w:r w:rsidR="00910546" w:rsidRPr="00910546">
        <w:rPr>
          <w:rFonts w:ascii="Times New Roman" w:hAnsi="Times New Roman"/>
          <w:sz w:val="24"/>
          <w:szCs w:val="24"/>
        </w:rPr>
        <w:t xml:space="preserve"> </w:t>
      </w:r>
      <w:r w:rsidR="00910546">
        <w:rPr>
          <w:rFonts w:ascii="Times New Roman" w:hAnsi="Times New Roman"/>
          <w:sz w:val="24"/>
          <w:szCs w:val="24"/>
          <w:lang w:val="en-US"/>
        </w:rPr>
        <w:t>random</w:t>
      </w:r>
      <w:r w:rsidR="00910546" w:rsidRPr="00910546">
        <w:rPr>
          <w:rFonts w:ascii="Times New Roman" w:hAnsi="Times New Roman"/>
          <w:sz w:val="24"/>
          <w:szCs w:val="24"/>
        </w:rPr>
        <w:t xml:space="preserve"> </w:t>
      </w:r>
      <w:r w:rsidR="00910546">
        <w:rPr>
          <w:rFonts w:ascii="Times New Roman" w:hAnsi="Times New Roman"/>
          <w:sz w:val="24"/>
          <w:szCs w:val="24"/>
          <w:lang w:val="en-US"/>
        </w:rPr>
        <w:t>functions</w:t>
      </w:r>
      <w:r w:rsidR="00910546" w:rsidRPr="00910546">
        <w:rPr>
          <w:rFonts w:ascii="Times New Roman" w:hAnsi="Times New Roman"/>
          <w:sz w:val="24"/>
          <w:szCs w:val="24"/>
        </w:rPr>
        <w:t>)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4A5B52" w:rsidRDefault="006D142A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A5B52">
        <w:rPr>
          <w:rFonts w:ascii="Times New Roman" w:hAnsi="Times New Roman"/>
          <w:sz w:val="24"/>
          <w:szCs w:val="24"/>
        </w:rPr>
        <w:t>ГАУССОВСКИЕ СЛУЧАЙНЫЕ ФУНКЦИИ, «</w:t>
      </w:r>
      <w:r w:rsidRPr="004A5B52">
        <w:rPr>
          <w:rFonts w:ascii="Times New Roman" w:hAnsi="Times New Roman"/>
          <w:sz w:val="24"/>
          <w:szCs w:val="24"/>
          <w:lang w:val="en-US"/>
        </w:rPr>
        <w:t>Gaussian</w:t>
      </w:r>
      <w:r w:rsidRPr="004A5B52">
        <w:rPr>
          <w:rFonts w:ascii="Times New Roman" w:hAnsi="Times New Roman"/>
          <w:sz w:val="24"/>
          <w:szCs w:val="24"/>
        </w:rPr>
        <w:t xml:space="preserve"> </w:t>
      </w:r>
      <w:r w:rsidRPr="004A5B52">
        <w:rPr>
          <w:rFonts w:ascii="Times New Roman" w:hAnsi="Times New Roman"/>
          <w:sz w:val="24"/>
          <w:szCs w:val="24"/>
          <w:lang w:val="en-US"/>
        </w:rPr>
        <w:t>random</w:t>
      </w:r>
      <w:r w:rsidRPr="004A5B52">
        <w:rPr>
          <w:rFonts w:ascii="Times New Roman" w:hAnsi="Times New Roman"/>
          <w:sz w:val="24"/>
          <w:szCs w:val="24"/>
        </w:rPr>
        <w:t xml:space="preserve"> </w:t>
      </w:r>
      <w:r w:rsidRPr="004A5B52">
        <w:rPr>
          <w:rFonts w:ascii="Times New Roman" w:hAnsi="Times New Roman"/>
          <w:sz w:val="24"/>
          <w:szCs w:val="24"/>
          <w:lang w:val="en-US"/>
        </w:rPr>
        <w:t>functions</w:t>
      </w:r>
      <w:r w:rsidRPr="004A5B52">
        <w:rPr>
          <w:rFonts w:ascii="Times New Roman" w:hAnsi="Times New Roman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gramStart"/>
      <w:r w:rsidRPr="00B95695">
        <w:rPr>
          <w:rFonts w:ascii="Times New Roman" w:hAnsi="Times New Roman"/>
          <w:sz w:val="24"/>
          <w:szCs w:val="24"/>
        </w:rPr>
        <w:t>Преподавател</w:t>
      </w:r>
      <w:r w:rsidR="006D142A">
        <w:rPr>
          <w:rFonts w:ascii="Times New Roman" w:hAnsi="Times New Roman"/>
          <w:sz w:val="24"/>
          <w:szCs w:val="24"/>
        </w:rPr>
        <w:t>и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6D142A">
        <w:rPr>
          <w:rFonts w:ascii="Times New Roman" w:hAnsi="Times New Roman"/>
          <w:sz w:val="24"/>
          <w:szCs w:val="24"/>
        </w:rPr>
        <w:t>–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42A">
        <w:rPr>
          <w:rFonts w:ascii="Times New Roman" w:hAnsi="Times New Roman"/>
          <w:sz w:val="24"/>
          <w:szCs w:val="24"/>
        </w:rPr>
        <w:t>г.н.с</w:t>
      </w:r>
      <w:proofErr w:type="spellEnd"/>
      <w:r w:rsidR="006D142A">
        <w:rPr>
          <w:rFonts w:ascii="Times New Roman" w:hAnsi="Times New Roman"/>
          <w:sz w:val="24"/>
          <w:szCs w:val="24"/>
        </w:rPr>
        <w:t xml:space="preserve">. В.И. </w:t>
      </w:r>
      <w:proofErr w:type="spellStart"/>
      <w:r w:rsidR="006D142A">
        <w:rPr>
          <w:rFonts w:ascii="Times New Roman" w:hAnsi="Times New Roman"/>
          <w:sz w:val="24"/>
          <w:szCs w:val="24"/>
        </w:rPr>
        <w:t>Питербарг</w:t>
      </w:r>
      <w:proofErr w:type="spellEnd"/>
      <w:r w:rsidR="006D14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142A">
        <w:rPr>
          <w:rFonts w:ascii="Times New Roman" w:hAnsi="Times New Roman"/>
          <w:sz w:val="24"/>
          <w:szCs w:val="24"/>
        </w:rPr>
        <w:t>с.н.с</w:t>
      </w:r>
      <w:proofErr w:type="spellEnd"/>
      <w:r w:rsidR="006D142A">
        <w:rPr>
          <w:rFonts w:ascii="Times New Roman" w:hAnsi="Times New Roman"/>
          <w:sz w:val="24"/>
          <w:szCs w:val="24"/>
        </w:rPr>
        <w:t>. И.В. Родионов</w:t>
      </w:r>
      <w:proofErr w:type="gramEnd"/>
    </w:p>
    <w:p w:rsidR="007D1562" w:rsidRPr="006D142A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  <w:r w:rsidRPr="007F2E49">
        <w:rPr>
          <w:rFonts w:ascii="Times New Roman" w:hAnsi="Times New Roman"/>
          <w:sz w:val="24"/>
          <w:szCs w:val="24"/>
        </w:rPr>
        <w:t>Аннотация</w:t>
      </w:r>
      <w:r w:rsidRPr="006D14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2E49">
        <w:rPr>
          <w:rFonts w:ascii="Times New Roman" w:hAnsi="Times New Roman"/>
          <w:sz w:val="24"/>
          <w:szCs w:val="24"/>
        </w:rPr>
        <w:t>курса</w:t>
      </w:r>
      <w:r w:rsidR="007D1562" w:rsidRPr="006D142A">
        <w:rPr>
          <w:rFonts w:ascii="Times New Roman" w:hAnsi="Times New Roman"/>
          <w:sz w:val="24"/>
          <w:szCs w:val="24"/>
          <w:lang w:val="en-US"/>
        </w:rPr>
        <w:t xml:space="preserve">:  </w:t>
      </w:r>
      <w:r w:rsidR="006D142A" w:rsidRPr="00BB5151">
        <w:rPr>
          <w:rFonts w:ascii="Times New Roman" w:hAnsi="Times New Roman"/>
          <w:sz w:val="24"/>
          <w:szCs w:val="24"/>
          <w:lang w:val="en-US"/>
        </w:rPr>
        <w:t>a special course dedicated to the Gaussian distribution in finite and infinite dimensional spaces. We consider the comparison theorem</w:t>
      </w:r>
      <w:r w:rsidR="006D142A">
        <w:rPr>
          <w:rFonts w:ascii="Times New Roman" w:hAnsi="Times New Roman"/>
          <w:sz w:val="24"/>
          <w:szCs w:val="24"/>
          <w:lang w:val="en-US"/>
        </w:rPr>
        <w:t>s</w:t>
      </w:r>
      <w:r w:rsidR="006D142A" w:rsidRPr="00BB5151">
        <w:rPr>
          <w:rFonts w:ascii="Times New Roman" w:hAnsi="Times New Roman"/>
          <w:sz w:val="24"/>
          <w:szCs w:val="24"/>
          <w:lang w:val="en-US"/>
        </w:rPr>
        <w:t xml:space="preserve"> for Gaussian distributions, </w:t>
      </w:r>
      <w:r w:rsidR="006D142A">
        <w:rPr>
          <w:rFonts w:ascii="Times New Roman" w:hAnsi="Times New Roman"/>
          <w:sz w:val="24"/>
          <w:szCs w:val="24"/>
          <w:lang w:val="en-US"/>
        </w:rPr>
        <w:t xml:space="preserve">properties of supports </w:t>
      </w:r>
      <w:r w:rsidR="006D142A" w:rsidRPr="00BB5151">
        <w:rPr>
          <w:rFonts w:ascii="Times New Roman" w:hAnsi="Times New Roman"/>
          <w:sz w:val="24"/>
          <w:szCs w:val="24"/>
          <w:lang w:val="en-US"/>
        </w:rPr>
        <w:t xml:space="preserve">Gaussian </w:t>
      </w:r>
      <w:r w:rsidR="006D142A">
        <w:rPr>
          <w:rFonts w:ascii="Times New Roman" w:hAnsi="Times New Roman"/>
          <w:sz w:val="24"/>
          <w:szCs w:val="24"/>
          <w:lang w:val="en-US"/>
        </w:rPr>
        <w:t xml:space="preserve">distributions in various functional </w:t>
      </w:r>
      <w:r w:rsidR="006D142A" w:rsidRPr="00BB5151">
        <w:rPr>
          <w:rFonts w:ascii="Times New Roman" w:hAnsi="Times New Roman"/>
          <w:sz w:val="24"/>
          <w:szCs w:val="24"/>
          <w:lang w:val="en-US"/>
        </w:rPr>
        <w:t xml:space="preserve">spaces, </w:t>
      </w:r>
      <w:r w:rsidR="006D142A">
        <w:rPr>
          <w:rFonts w:ascii="Times New Roman" w:hAnsi="Times New Roman"/>
          <w:sz w:val="24"/>
          <w:szCs w:val="24"/>
          <w:lang w:val="en-US"/>
        </w:rPr>
        <w:t xml:space="preserve">properties of </w:t>
      </w:r>
      <w:r w:rsidR="006D142A" w:rsidRPr="00BB5151">
        <w:rPr>
          <w:rFonts w:ascii="Times New Roman" w:hAnsi="Times New Roman"/>
          <w:sz w:val="24"/>
          <w:szCs w:val="24"/>
          <w:lang w:val="en-US"/>
        </w:rPr>
        <w:t xml:space="preserve">distribution tails </w:t>
      </w:r>
      <w:r w:rsidR="006D142A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6D142A" w:rsidRPr="00BB5151">
        <w:rPr>
          <w:rFonts w:ascii="Times New Roman" w:hAnsi="Times New Roman"/>
          <w:sz w:val="24"/>
          <w:szCs w:val="24"/>
          <w:lang w:val="en-US"/>
        </w:rPr>
        <w:t xml:space="preserve">Gaussian vector norms in </w:t>
      </w:r>
      <w:proofErr w:type="spellStart"/>
      <w:r w:rsidR="006D142A" w:rsidRPr="00BB5151">
        <w:rPr>
          <w:rFonts w:ascii="Times New Roman" w:hAnsi="Times New Roman"/>
          <w:sz w:val="24"/>
          <w:szCs w:val="24"/>
          <w:lang w:val="en-US"/>
        </w:rPr>
        <w:t>Banach</w:t>
      </w:r>
      <w:proofErr w:type="spellEnd"/>
      <w:r w:rsidR="006D142A" w:rsidRPr="00BB5151">
        <w:rPr>
          <w:rFonts w:ascii="Times New Roman" w:hAnsi="Times New Roman"/>
          <w:sz w:val="24"/>
          <w:szCs w:val="24"/>
          <w:lang w:val="en-US"/>
        </w:rPr>
        <w:t xml:space="preserve"> spaces.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C3012" w:rsidRPr="00506203" w:rsidTr="005C3012">
        <w:trPr>
          <w:trHeight w:val="314"/>
        </w:trPr>
        <w:tc>
          <w:tcPr>
            <w:tcW w:w="1696" w:type="dxa"/>
          </w:tcPr>
          <w:p w:rsidR="005C3012" w:rsidRDefault="005C301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C3012" w:rsidRPr="006B74BE" w:rsidRDefault="005C3012" w:rsidP="005C301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Gaussian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finite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dimensional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distributions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Existence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density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its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properties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5C3012" w:rsidRPr="00506203">
        <w:trPr>
          <w:trHeight w:val="202"/>
        </w:trPr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C3012" w:rsidRPr="00090717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Gaussian conditional distributions. Conditional mean and variance, properties.</w:t>
            </w:r>
          </w:p>
        </w:tc>
      </w:tr>
      <w:tr w:rsidR="005C3012" w:rsidRPr="00506203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C3012" w:rsidRPr="00090717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Comparison identity of Gaussian finite dimensional distributions. </w:t>
            </w:r>
          </w:p>
        </w:tc>
      </w:tr>
      <w:tr w:rsidR="005C3012" w:rsidRPr="00B95695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C3012" w:rsidRPr="00090717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Slepian’s</w:t>
            </w:r>
            <w:proofErr w:type="spellEnd"/>
            <w:r w:rsidRPr="000907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comparison</w:t>
            </w:r>
            <w:r w:rsidRPr="000907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Lemma</w:t>
            </w:r>
            <w:r w:rsidRPr="000907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C3012" w:rsidRPr="00B95695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C3012" w:rsidRPr="00D946F0" w:rsidRDefault="005C3012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Berman’s comparison</w:t>
            </w:r>
            <w:r w:rsidRPr="00CD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Lemma</w:t>
            </w:r>
            <w:r w:rsidRPr="00CD43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3012" w:rsidRPr="00B95695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C3012" w:rsidRPr="00D946F0" w:rsidRDefault="005C3012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Fernique</w:t>
            </w:r>
            <w:proofErr w:type="spellEnd"/>
            <w:r w:rsidRPr="00CD435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Sudakov</w:t>
            </w:r>
            <w:proofErr w:type="spellEnd"/>
            <w:r w:rsidRPr="00CD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comparison</w:t>
            </w:r>
            <w:r w:rsidRPr="00CD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Lemma</w:t>
            </w:r>
            <w:r w:rsidRPr="00CD43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C3012" w:rsidRPr="00B86878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C3012" w:rsidRPr="00B86878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Characterization of Gaussian distributions in linear spaces. Alternative</w:t>
            </w:r>
            <w:r w:rsidRPr="00B8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definition</w:t>
            </w:r>
            <w:r w:rsidRPr="00B8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5C3012" w:rsidRPr="00B95695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5C3012" w:rsidRPr="00D946F0" w:rsidRDefault="005C3012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Hilbert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space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generated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Gaussian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function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Properties</w:t>
            </w:r>
            <w:r w:rsidRPr="00FC5A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946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3012" w:rsidRPr="00506203">
        <w:tc>
          <w:tcPr>
            <w:tcW w:w="1696" w:type="dxa"/>
          </w:tcPr>
          <w:p w:rsidR="005C3012" w:rsidRDefault="005C3012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C3012" w:rsidRPr="00090717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Strong </w:t>
            </w:r>
            <w:proofErr w:type="spellStart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inegrability</w:t>
            </w:r>
            <w:proofErr w:type="spellEnd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Gaussian vectors. </w:t>
            </w:r>
          </w:p>
        </w:tc>
      </w:tr>
      <w:tr w:rsidR="005C3012" w:rsidRPr="00506203">
        <w:tc>
          <w:tcPr>
            <w:tcW w:w="1696" w:type="dxa"/>
          </w:tcPr>
          <w:p w:rsidR="005C3012" w:rsidRDefault="005C301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5C3012" w:rsidRPr="00090717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Zero and one laws </w:t>
            </w:r>
            <w:proofErr w:type="gramStart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for  Gaussian</w:t>
            </w:r>
            <w:proofErr w:type="gramEnd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vectors.</w:t>
            </w:r>
          </w:p>
        </w:tc>
      </w:tr>
      <w:tr w:rsidR="005C3012" w:rsidRPr="00506203">
        <w:tc>
          <w:tcPr>
            <w:tcW w:w="1696" w:type="dxa"/>
          </w:tcPr>
          <w:p w:rsidR="005C3012" w:rsidRDefault="005C301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5C3012" w:rsidRPr="00090717" w:rsidRDefault="005C3012" w:rsidP="00EA2102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Norms </w:t>
            </w:r>
            <w:proofErr w:type="gramStart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>and  tail</w:t>
            </w:r>
            <w:proofErr w:type="gramEnd"/>
            <w:r w:rsidRPr="000907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probability properties of Gaussian vectors.</w:t>
            </w:r>
          </w:p>
        </w:tc>
      </w:tr>
      <w:tr w:rsidR="005C3012" w:rsidRPr="00B95695">
        <w:tc>
          <w:tcPr>
            <w:tcW w:w="1696" w:type="dxa"/>
          </w:tcPr>
          <w:p w:rsidR="005C3012" w:rsidRDefault="005C301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5C3012" w:rsidRPr="00FC5A71" w:rsidRDefault="00506203" w:rsidP="00EA2102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Zero-one laws</w:t>
            </w:r>
            <w:bookmarkStart w:id="0" w:name="_GoBack"/>
            <w:bookmarkEnd w:id="0"/>
          </w:p>
        </w:tc>
      </w:tr>
      <w:tr w:rsidR="00506203" w:rsidRPr="005C3012">
        <w:tc>
          <w:tcPr>
            <w:tcW w:w="1696" w:type="dxa"/>
          </w:tcPr>
          <w:p w:rsidR="00506203" w:rsidRDefault="00506203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506203" w:rsidRPr="00FC5A71" w:rsidRDefault="00506203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Oscillations of Gaussian functions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06203" w:rsidRPr="00506203">
        <w:tc>
          <w:tcPr>
            <w:tcW w:w="1696" w:type="dxa"/>
          </w:tcPr>
          <w:p w:rsidR="00506203" w:rsidRDefault="0050620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506203" w:rsidRPr="006B74BE" w:rsidRDefault="00506203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Properties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discontinuous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sets</w:t>
            </w:r>
            <w:r w:rsidRPr="00FC5A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Gaussian functions. </w:t>
            </w:r>
          </w:p>
        </w:tc>
      </w:tr>
      <w:tr w:rsidR="00506203" w:rsidRPr="00B86878">
        <w:tc>
          <w:tcPr>
            <w:tcW w:w="1696" w:type="dxa"/>
          </w:tcPr>
          <w:p w:rsidR="00506203" w:rsidRDefault="0050620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506203" w:rsidRPr="00D946F0" w:rsidRDefault="00506203" w:rsidP="0090183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Belyaev</w:t>
            </w:r>
            <w:proofErr w:type="spellEnd"/>
            <w:r w:rsidRPr="00FC5A71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C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FC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Dobrushin</w:t>
            </w:r>
            <w:proofErr w:type="spellEnd"/>
            <w:r w:rsidRPr="00FC5A71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C5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alternatives</w:t>
            </w:r>
            <w:r w:rsidRPr="00FC5A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06203" w:rsidRPr="00B95695">
        <w:tc>
          <w:tcPr>
            <w:tcW w:w="1696" w:type="dxa"/>
          </w:tcPr>
          <w:p w:rsidR="00506203" w:rsidRDefault="00506203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506203" w:rsidRPr="00B86878" w:rsidRDefault="00506203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Dudley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entropy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integral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506203" w:rsidRPr="00B95695">
        <w:tc>
          <w:tcPr>
            <w:tcW w:w="1696" w:type="dxa"/>
          </w:tcPr>
          <w:p w:rsidR="00506203" w:rsidRPr="00994792" w:rsidRDefault="00506203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506203" w:rsidRPr="00B95695" w:rsidRDefault="00506203" w:rsidP="009018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Dmitrovsky</w:t>
            </w:r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6B74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inequality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Pr="00B86878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B86878" w:rsidRPr="00506203" w:rsidRDefault="00B86878" w:rsidP="00B86878">
      <w:pPr>
        <w:rPr>
          <w:rFonts w:ascii="Times New Roman" w:hAnsi="Times New Roman"/>
          <w:sz w:val="24"/>
          <w:szCs w:val="24"/>
        </w:rPr>
      </w:pPr>
    </w:p>
    <w:p w:rsidR="00B86878" w:rsidRPr="00B30EE5" w:rsidRDefault="00B86878" w:rsidP="00B86878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</w:p>
    <w:p w:rsidR="00B86878" w:rsidRPr="00362D6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62D69">
        <w:rPr>
          <w:rFonts w:ascii="Times New Roman" w:hAnsi="Times New Roman"/>
          <w:sz w:val="24"/>
          <w:szCs w:val="24"/>
          <w:lang w:val="en-US"/>
        </w:rPr>
        <w:t xml:space="preserve">Gaussian  </w:t>
      </w:r>
      <w:r>
        <w:rPr>
          <w:rFonts w:ascii="Times New Roman" w:hAnsi="Times New Roman"/>
          <w:sz w:val="24"/>
          <w:szCs w:val="24"/>
          <w:lang w:val="en-US"/>
        </w:rPr>
        <w:t>finite</w:t>
      </w:r>
      <w:proofErr w:type="gramEnd"/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dimensional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distributions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.  </w:t>
      </w:r>
      <w:r>
        <w:rPr>
          <w:rFonts w:ascii="Times New Roman" w:hAnsi="Times New Roman"/>
          <w:sz w:val="24"/>
          <w:szCs w:val="24"/>
          <w:lang w:val="en-US"/>
        </w:rPr>
        <w:t>Existence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density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its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properties</w:t>
      </w:r>
      <w:r w:rsidRPr="00362D69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CD435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Gaussian conditional distributions</w:t>
      </w:r>
      <w:r w:rsidRPr="00CD4359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Conditional mean and variance, properties.</w:t>
      </w:r>
    </w:p>
    <w:p w:rsidR="00B86878" w:rsidRPr="00362D6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62D69">
        <w:rPr>
          <w:rFonts w:ascii="Times New Roman" w:hAnsi="Times New Roman"/>
          <w:sz w:val="24"/>
          <w:szCs w:val="24"/>
          <w:lang w:val="en-US"/>
        </w:rPr>
        <w:t>Comparison identity of Gaussian finite dimensional distributions.</w:t>
      </w:r>
    </w:p>
    <w:p w:rsidR="00B86878" w:rsidRPr="00362D6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Slepian</w:t>
      </w:r>
      <w:proofErr w:type="spellEnd"/>
      <w:r w:rsidRPr="00362D69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CD43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comparison</w:t>
      </w:r>
      <w:r w:rsidRPr="00CD43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Lemma</w:t>
      </w:r>
      <w:r w:rsidRPr="00CD4359">
        <w:rPr>
          <w:rFonts w:ascii="Times New Roman" w:hAnsi="Times New Roman"/>
          <w:sz w:val="24"/>
          <w:szCs w:val="24"/>
        </w:rPr>
        <w:t xml:space="preserve">. </w:t>
      </w:r>
    </w:p>
    <w:p w:rsidR="00B86878" w:rsidRPr="00362D6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Fernique</w:t>
      </w:r>
      <w:r w:rsidRPr="00362D69"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Sudakov</w:t>
      </w:r>
      <w:proofErr w:type="spellEnd"/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comparison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Lemma</w:t>
      </w:r>
      <w:r w:rsidRPr="00362D69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362D6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Berman’s comparison Lemma.</w:t>
      </w:r>
    </w:p>
    <w:p w:rsidR="00B86878" w:rsidRPr="00362D69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362D69">
        <w:rPr>
          <w:rFonts w:ascii="Times New Roman" w:hAnsi="Times New Roman"/>
          <w:sz w:val="24"/>
          <w:szCs w:val="24"/>
          <w:lang w:val="en-US"/>
        </w:rPr>
        <w:t>Characterization of Gaussian distributions in linear spaces. Alternative definition.</w:t>
      </w:r>
    </w:p>
    <w:p w:rsidR="00B86878" w:rsidRPr="00FC5A71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Norms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and </w:t>
      </w:r>
      <w:r w:rsidRPr="00FC5A7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tail</w:t>
      </w:r>
      <w:proofErr w:type="gramEnd"/>
      <w:r w:rsidRPr="00FC5A7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probability</w:t>
      </w:r>
      <w:r w:rsidRPr="00FC5A7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properties of Gaussian vectors</w:t>
      </w:r>
      <w:r w:rsidRPr="00FC5A71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Zero-one laws.</w:t>
      </w:r>
    </w:p>
    <w:p w:rsidR="00B86878" w:rsidRPr="00FC5A71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Oscillations of Gaussian functions</w:t>
      </w:r>
      <w:r w:rsidRPr="00FC5A71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FC5A71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Dudley</w:t>
      </w:r>
      <w:r w:rsidRPr="00FC5A71">
        <w:rPr>
          <w:rFonts w:ascii="Times New Roman" w:hAnsi="Times New Roman"/>
          <w:sz w:val="24"/>
          <w:szCs w:val="24"/>
          <w:lang w:val="en-US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FC5A7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entropy</w:t>
      </w:r>
      <w:r w:rsidRPr="00FC5A7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integral</w:t>
      </w:r>
      <w:r w:rsidRPr="00FC5A71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FC5A71" w:rsidRDefault="00B86878" w:rsidP="00B8687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Dmitrovsky</w:t>
      </w:r>
      <w:r w:rsidRPr="00FC5A71">
        <w:rPr>
          <w:rFonts w:ascii="Times New Roman" w:hAnsi="Times New Roman"/>
          <w:sz w:val="24"/>
          <w:szCs w:val="24"/>
          <w:lang w:val="en-US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Pr="00FC5A7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inequality</w:t>
      </w:r>
      <w:r w:rsidRPr="00FC5A71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FC5A71" w:rsidRDefault="00B86878" w:rsidP="00B86878">
      <w:pPr>
        <w:pStyle w:val="a9"/>
        <w:rPr>
          <w:rFonts w:ascii="Courier New" w:hAnsi="Courier New" w:cs="Courier New"/>
          <w:lang w:val="en-US"/>
        </w:rPr>
      </w:pPr>
    </w:p>
    <w:p w:rsidR="00B86878" w:rsidRPr="00AD7DD0" w:rsidRDefault="00B86878" w:rsidP="00B86878">
      <w:pPr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>Экзаменационные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>билеты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>формируются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>в</w:t>
      </w:r>
      <w:r w:rsidRPr="006B74BE">
        <w:rPr>
          <w:rFonts w:ascii="Times New Roman" w:hAnsi="Times New Roman"/>
          <w:i/>
          <w:sz w:val="24"/>
          <w:szCs w:val="24"/>
        </w:rPr>
        <w:t xml:space="preserve"> </w:t>
      </w:r>
      <w:r w:rsidRPr="00AD7DD0">
        <w:rPr>
          <w:rFonts w:ascii="Times New Roman" w:hAnsi="Times New Roman"/>
          <w:i/>
          <w:sz w:val="24"/>
          <w:szCs w:val="24"/>
        </w:rPr>
        <w:t xml:space="preserve">виде двух вопросов (А и Б) из указанного списка и одной задачи (В), примеры задач см. далее. </w:t>
      </w:r>
    </w:p>
    <w:p w:rsidR="00B86878" w:rsidRPr="00506203" w:rsidRDefault="00B86878" w:rsidP="00B8687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86878" w:rsidRPr="006B74BE" w:rsidRDefault="00B86878" w:rsidP="00B86878">
      <w:pPr>
        <w:spacing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</w:rPr>
        <w:t>Образцы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7DD0">
        <w:rPr>
          <w:rFonts w:ascii="Times New Roman" w:hAnsi="Times New Roman"/>
          <w:sz w:val="24"/>
          <w:szCs w:val="24"/>
        </w:rPr>
        <w:t>билетов</w:t>
      </w:r>
      <w:r w:rsidRPr="006B74BE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6B74BE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 w:rsidRPr="006B74BE">
        <w:rPr>
          <w:rFonts w:ascii="Times New Roman" w:hAnsi="Times New Roman"/>
          <w:sz w:val="24"/>
          <w:szCs w:val="24"/>
          <w:lang w:val="en-US"/>
        </w:rPr>
        <w:softHyphen/>
      </w:r>
      <w:r>
        <w:rPr>
          <w:rFonts w:ascii="Times New Roman" w:hAnsi="Times New Roman"/>
          <w:sz w:val="24"/>
          <w:szCs w:val="24"/>
          <w:lang w:val="en-US"/>
        </w:rPr>
        <w:t>Problem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Pr="006B74BE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B86878" w:rsidRPr="006B74BE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lastRenderedPageBreak/>
        <w:t>А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Definition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properties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Dudley</w:t>
      </w:r>
      <w:r w:rsidRPr="006B74BE">
        <w:rPr>
          <w:rFonts w:ascii="Times New Roman" w:hAnsi="Times New Roman"/>
          <w:sz w:val="24"/>
          <w:szCs w:val="24"/>
          <w:lang w:val="en-US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integral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B86878" w:rsidRPr="00273EBE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Б</w:t>
      </w:r>
      <w:r w:rsidRPr="00273EBE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Proximity</w:t>
      </w:r>
      <w:r w:rsidRPr="00273E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273EB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maxima</w:t>
      </w:r>
      <w:r w:rsidRPr="00273EBE">
        <w:rPr>
          <w:rFonts w:ascii="Times New Roman" w:hAnsi="Times New Roman"/>
          <w:sz w:val="24"/>
          <w:szCs w:val="24"/>
          <w:lang w:val="en-US"/>
        </w:rPr>
        <w:t xml:space="preserve"> for Gaussian vectors.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Berman’s Lemma.</w:t>
      </w:r>
      <w:proofErr w:type="gramEnd"/>
      <w:r w:rsidRPr="00273EB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86878" w:rsidRPr="00370CD1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В</w:t>
      </w:r>
      <w:r w:rsidRPr="00273EBE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Prove that trajectories of a Gaussian random function given in a square 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a.s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continuous or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a.s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 discontinuous. Describe the discontinuous points set in homogeneous Gaussian function case</w:t>
      </w:r>
      <w:r w:rsidRPr="00370CD1">
        <w:rPr>
          <w:rFonts w:ascii="Times New Roman" w:hAnsi="Times New Roman"/>
          <w:sz w:val="24"/>
          <w:szCs w:val="24"/>
          <w:lang w:val="en-US"/>
        </w:rPr>
        <w:t>.</w:t>
      </w:r>
    </w:p>
    <w:p w:rsidR="00B86878" w:rsidRPr="00370CD1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</w:p>
    <w:p w:rsidR="00B86878" w:rsidRPr="00370CD1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Problem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2.</w:t>
      </w:r>
      <w:proofErr w:type="gramEnd"/>
    </w:p>
    <w:p w:rsidR="00B86878" w:rsidRPr="00362D69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А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62D69">
        <w:rPr>
          <w:rFonts w:ascii="Times New Roman" w:hAnsi="Times New Roman"/>
          <w:sz w:val="24"/>
          <w:szCs w:val="24"/>
          <w:lang w:val="en-US"/>
        </w:rPr>
        <w:t xml:space="preserve">Characterization of Gaussian distributions in linear spaces. </w:t>
      </w:r>
      <w:proofErr w:type="gramStart"/>
      <w:r w:rsidRPr="00362D69">
        <w:rPr>
          <w:rFonts w:ascii="Times New Roman" w:hAnsi="Times New Roman"/>
          <w:sz w:val="24"/>
          <w:szCs w:val="24"/>
          <w:lang w:val="en-US"/>
        </w:rPr>
        <w:t>Alternative definition.</w:t>
      </w:r>
      <w:proofErr w:type="gramEnd"/>
    </w:p>
    <w:p w:rsidR="00B86878" w:rsidRPr="006B74BE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Б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Fernique-Sudakov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comparison Lemma. Its role in local properties of Gaussian functions study. </w:t>
      </w:r>
    </w:p>
    <w:p w:rsidR="00B86878" w:rsidRPr="00370CD1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В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Let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r</m:t>
        </m:r>
        <m:r>
          <w:rPr>
            <w:rFonts w:ascii="Cambria Math" w:hAnsi="Times New Roman"/>
            <w:sz w:val="24"/>
            <w:szCs w:val="24"/>
            <w:lang w:val="en-US"/>
          </w:rPr>
          <m:t>(</m:t>
        </m:r>
        <m:r>
          <w:rPr>
            <w:rFonts w:ascii="Cambria Math" w:hAnsi="Cambria Math"/>
            <w:sz w:val="24"/>
            <w:szCs w:val="24"/>
          </w:rPr>
          <m:t>t</m:t>
        </m:r>
        <m:r>
          <w:rPr>
            <w:rFonts w:ascii="Cambria Math" w:hAnsi="Times New Roman"/>
            <w:sz w:val="24"/>
            <w:szCs w:val="24"/>
            <w:lang w:val="en-US"/>
          </w:rPr>
          <m:t>)</m:t>
        </m:r>
      </m:oMath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be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correlation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function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for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a </w:t>
      </w:r>
      <w:r>
        <w:rPr>
          <w:rFonts w:ascii="Times New Roman" w:hAnsi="Times New Roman"/>
          <w:sz w:val="24"/>
          <w:szCs w:val="24"/>
          <w:lang w:val="en-US"/>
        </w:rPr>
        <w:t>Gaussian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stationary process. Let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r(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t) = 1 – |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t|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d</w:t>
      </w:r>
      <w:proofErr w:type="spellEnd"/>
      <w:r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+ o(|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t|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as </w:t>
      </w:r>
      <m:oMath>
        <m:r>
          <w:rPr>
            <w:rFonts w:ascii="Cambria Math" w:hAnsi="Cambria Math"/>
            <w:sz w:val="24"/>
            <w:szCs w:val="24"/>
            <w:lang w:val="en-US"/>
          </w:rPr>
          <m:t>t→0,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Times New Roman"/>
            <w:sz w:val="24"/>
            <w:szCs w:val="24"/>
            <w:lang w:val="en-US"/>
          </w:rPr>
          <m:t>&gt;0</m:t>
        </m:r>
      </m:oMath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Does the Dudley’s integral converge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for </w:t>
      </w:r>
      <w:r w:rsidRPr="00370CD1">
        <w:rPr>
          <w:rFonts w:ascii="Times New Roman" w:hAnsi="Times New Roman"/>
          <w:sz w:val="24"/>
          <w:szCs w:val="24"/>
          <w:lang w:val="en-US"/>
        </w:rPr>
        <w:t> </w:t>
      </w:r>
      <w:proofErr w:type="gramEnd"/>
      <m:oMath>
        <m:r>
          <w:rPr>
            <w:rFonts w:ascii="Cambria Math" w:hAnsi="Cambria Math"/>
            <w:sz w:val="24"/>
            <w:szCs w:val="24"/>
          </w:rPr>
          <m:t>r</m:t>
        </m:r>
      </m:oMath>
      <w:r w:rsidRPr="00370CD1">
        <w:rPr>
          <w:rFonts w:ascii="Times New Roman" w:hAnsi="Times New Roman"/>
          <w:sz w:val="24"/>
          <w:szCs w:val="24"/>
          <w:lang w:val="en-US"/>
        </w:rPr>
        <w:t xml:space="preserve">?  </w:t>
      </w:r>
      <w:r>
        <w:rPr>
          <w:rFonts w:ascii="Times New Roman" w:hAnsi="Times New Roman"/>
          <w:sz w:val="24"/>
          <w:szCs w:val="24"/>
          <w:lang w:val="en-US"/>
        </w:rPr>
        <w:t xml:space="preserve">What about the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case 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End"/>
      <m:oMath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Times New Roman"/>
            <w:sz w:val="24"/>
            <w:szCs w:val="24"/>
            <w:lang w:val="en-US"/>
          </w:rPr>
          <m:t>=0</m:t>
        </m:r>
      </m:oMath>
      <w:r w:rsidRPr="00370CD1">
        <w:rPr>
          <w:rFonts w:ascii="Times New Roman" w:hAnsi="Times New Roman"/>
          <w:sz w:val="24"/>
          <w:szCs w:val="24"/>
          <w:lang w:val="en-US"/>
        </w:rPr>
        <w:t xml:space="preserve">? </w:t>
      </w:r>
    </w:p>
    <w:p w:rsidR="00B86878" w:rsidRPr="00370CD1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</w:p>
    <w:p w:rsidR="00B86878" w:rsidRPr="00587B4A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Problem</w:t>
      </w:r>
      <w:r w:rsidRPr="006B74BE">
        <w:rPr>
          <w:rFonts w:ascii="Times New Roman" w:hAnsi="Times New Roman"/>
          <w:sz w:val="24"/>
          <w:szCs w:val="24"/>
          <w:lang w:val="en-US"/>
        </w:rPr>
        <w:t xml:space="preserve"> 3</w:t>
      </w:r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B86878" w:rsidRPr="006B74BE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А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Oscillations of Gaussian functions</w:t>
      </w:r>
      <w:r w:rsidRPr="00FC5A71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Belyaev’s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alternative. </w:t>
      </w:r>
    </w:p>
    <w:p w:rsidR="00B86878" w:rsidRPr="00370CD1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Б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Conditional Gaussian distributions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Properties of conditional mean and variance.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86878" w:rsidRPr="00B25254" w:rsidRDefault="00B86878" w:rsidP="00B86878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</w:rPr>
        <w:t>В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Let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946F0">
        <w:rPr>
          <w:rFonts w:ascii="Times New Roman" w:hAnsi="Times New Roman"/>
          <w:sz w:val="24"/>
          <w:szCs w:val="24"/>
          <w:lang w:val="en-US"/>
        </w:rPr>
        <w:t>X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/>
          <w:sz w:val="24"/>
          <w:szCs w:val="24"/>
          <w:lang w:val="en-US"/>
        </w:rPr>
        <w:t>Y</w:t>
      </w:r>
      <w:r w:rsidRPr="00370CD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be independent standard Gaussian random variables. Estimate the tail distribution of its product.</w:t>
      </w:r>
    </w:p>
    <w:p w:rsidR="00B86878" w:rsidRPr="00B86878" w:rsidRDefault="00B86878" w:rsidP="00B86878">
      <w:pPr>
        <w:rPr>
          <w:rFonts w:ascii="Times New Roman" w:hAnsi="Times New Roman"/>
          <w:sz w:val="24"/>
          <w:szCs w:val="24"/>
          <w:lang w:val="en-US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70651C" w:rsidRDefault="0070651C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Pr="0070651C" w:rsidRDefault="0070651C" w:rsidP="007D25C8">
      <w:pPr>
        <w:rPr>
          <w:rFonts w:ascii="Times New Roman" w:hAnsi="Times New Roman"/>
          <w:sz w:val="24"/>
          <w:szCs w:val="24"/>
          <w:lang w:val="en-US"/>
        </w:rPr>
      </w:pPr>
      <w:r w:rsidRPr="0070651C">
        <w:rPr>
          <w:rFonts w:ascii="Times New Roman" w:hAnsi="Times New Roman"/>
          <w:sz w:val="24"/>
          <w:szCs w:val="24"/>
        </w:rPr>
        <w:t>Перечень</w:t>
      </w:r>
      <w:r w:rsidRPr="007065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0651C">
        <w:rPr>
          <w:rFonts w:ascii="Times New Roman" w:hAnsi="Times New Roman"/>
          <w:sz w:val="24"/>
          <w:szCs w:val="24"/>
        </w:rPr>
        <w:t>литературы</w:t>
      </w:r>
      <w:r w:rsidRPr="0070651C">
        <w:rPr>
          <w:rFonts w:ascii="Times New Roman" w:hAnsi="Times New Roman"/>
          <w:sz w:val="24"/>
          <w:szCs w:val="24"/>
          <w:lang w:val="en-US"/>
        </w:rPr>
        <w:t>:</w:t>
      </w:r>
    </w:p>
    <w:p w:rsidR="0070651C" w:rsidRPr="004A5B52" w:rsidRDefault="0070651C" w:rsidP="0070651C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D946F0">
        <w:rPr>
          <w:rFonts w:ascii="Times New Roman" w:hAnsi="Times New Roman"/>
          <w:sz w:val="24"/>
          <w:szCs w:val="24"/>
          <w:lang w:val="en-US"/>
        </w:rPr>
        <w:t xml:space="preserve">1) 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Fernique</w:t>
      </w:r>
      <w:proofErr w:type="spellEnd"/>
      <w:proofErr w:type="gramStart"/>
      <w:r w:rsidRPr="00D946F0">
        <w:rPr>
          <w:rFonts w:ascii="Times New Roman" w:hAnsi="Times New Roman"/>
          <w:sz w:val="24"/>
          <w:szCs w:val="24"/>
          <w:lang w:val="en-US"/>
        </w:rPr>
        <w:t>,~</w:t>
      </w:r>
      <w:proofErr w:type="gramEnd"/>
      <w:r w:rsidRPr="00D946F0">
        <w:rPr>
          <w:rFonts w:ascii="Times New Roman" w:hAnsi="Times New Roman"/>
          <w:sz w:val="24"/>
          <w:szCs w:val="24"/>
          <w:lang w:val="en-US"/>
        </w:rPr>
        <w:t>X.~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Regularite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 xml:space="preserve"> des </w:t>
      </w:r>
      <w:r>
        <w:rPr>
          <w:rFonts w:ascii="Times New Roman" w:hAnsi="Times New Roman"/>
          <w:sz w:val="24"/>
          <w:szCs w:val="24"/>
          <w:lang w:val="en-US"/>
        </w:rPr>
        <w:t xml:space="preserve">trajectories </w:t>
      </w:r>
      <w:r w:rsidRPr="00D946F0">
        <w:rPr>
          <w:rFonts w:ascii="Times New Roman" w:hAnsi="Times New Roman"/>
          <w:sz w:val="24"/>
          <w:szCs w:val="24"/>
          <w:lang w:val="en-US"/>
        </w:rPr>
        <w:t>des 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fonctions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aleatoires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gaussiennes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>, Lecture Notes in</w:t>
      </w:r>
      <w:r w:rsidRPr="007065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/>
          <w:sz w:val="24"/>
          <w:szCs w:val="24"/>
          <w:lang w:val="en-US"/>
        </w:rPr>
        <w:t>Mathematics, 1975, vol. 480</w:t>
      </w:r>
    </w:p>
    <w:p w:rsidR="0070651C" w:rsidRPr="00D946F0" w:rsidRDefault="0070651C" w:rsidP="0070651C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0538F0">
        <w:rPr>
          <w:rFonts w:ascii="Times New Roman" w:hAnsi="Times New Roman"/>
          <w:sz w:val="24"/>
          <w:szCs w:val="24"/>
          <w:lang w:val="en-US"/>
        </w:rPr>
        <w:t>2)</w:t>
      </w:r>
      <w:r w:rsidRPr="00D946F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Piterbarg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 xml:space="preserve"> V. I.  </w:t>
      </w:r>
      <w:proofErr w:type="gramStart"/>
      <w:r w:rsidRPr="00D946F0">
        <w:rPr>
          <w:rFonts w:ascii="Times New Roman" w:hAnsi="Times New Roman"/>
          <w:sz w:val="24"/>
          <w:szCs w:val="24"/>
          <w:lang w:val="en-US"/>
        </w:rPr>
        <w:t>Asymptotic Methods in the Theory of Gaussian Processes and Fields.</w:t>
      </w:r>
      <w:proofErr w:type="gramEnd"/>
      <w:r w:rsidRPr="00D946F0">
        <w:rPr>
          <w:rFonts w:ascii="Times New Roman" w:hAnsi="Times New Roman"/>
          <w:sz w:val="24"/>
          <w:szCs w:val="24"/>
          <w:lang w:val="en-US"/>
        </w:rPr>
        <w:t xml:space="preserve"> American Mathematical Soc., 1996</w:t>
      </w:r>
    </w:p>
    <w:p w:rsidR="0070651C" w:rsidRPr="00D946F0" w:rsidRDefault="0070651C" w:rsidP="0070651C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0538F0">
        <w:rPr>
          <w:rFonts w:ascii="Times New Roman" w:hAnsi="Times New Roman"/>
          <w:sz w:val="24"/>
          <w:szCs w:val="24"/>
          <w:lang w:val="en-US"/>
        </w:rPr>
        <w:t xml:space="preserve">3) 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Lifshtz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 xml:space="preserve"> M. A.  </w:t>
      </w:r>
      <w:proofErr w:type="gramStart"/>
      <w:r w:rsidRPr="00D946F0">
        <w:rPr>
          <w:rFonts w:ascii="Times New Roman" w:hAnsi="Times New Roman"/>
          <w:sz w:val="24"/>
          <w:szCs w:val="24"/>
          <w:lang w:val="en-US"/>
        </w:rPr>
        <w:t>Gaussian Random Functions.</w:t>
      </w:r>
      <w:proofErr w:type="gramEnd"/>
      <w:r w:rsidRPr="00D946F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538F0">
        <w:rPr>
          <w:rFonts w:ascii="Times New Roman" w:hAnsi="Times New Roman"/>
          <w:sz w:val="24"/>
          <w:szCs w:val="24"/>
          <w:lang w:val="en-US"/>
        </w:rPr>
        <w:t>Springer</w:t>
      </w:r>
      <w:r w:rsidRPr="0097215B">
        <w:rPr>
          <w:rFonts w:ascii="Times New Roman" w:hAnsi="Times New Roman"/>
          <w:sz w:val="24"/>
          <w:szCs w:val="24"/>
          <w:lang w:val="en-US"/>
        </w:rPr>
        <w:t>, 1995</w:t>
      </w:r>
    </w:p>
    <w:p w:rsidR="0070651C" w:rsidRPr="0070651C" w:rsidRDefault="0070651C" w:rsidP="0070651C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 w:rsidRPr="00D946F0">
        <w:rPr>
          <w:rFonts w:ascii="Times New Roman" w:hAnsi="Times New Roman"/>
          <w:sz w:val="24"/>
          <w:szCs w:val="24"/>
          <w:lang w:val="en-US"/>
        </w:rPr>
        <w:t xml:space="preserve">) Vladimir I. </w:t>
      </w:r>
      <w:proofErr w:type="spellStart"/>
      <w:r w:rsidRPr="00D946F0">
        <w:rPr>
          <w:rFonts w:ascii="Times New Roman" w:hAnsi="Times New Roman"/>
          <w:sz w:val="24"/>
          <w:szCs w:val="24"/>
          <w:lang w:val="en-US"/>
        </w:rPr>
        <w:t>Piterbarg</w:t>
      </w:r>
      <w:proofErr w:type="spellEnd"/>
      <w:r w:rsidRPr="00D946F0">
        <w:rPr>
          <w:rFonts w:ascii="Times New Roman" w:hAnsi="Times New Roman"/>
          <w:sz w:val="24"/>
          <w:szCs w:val="24"/>
          <w:lang w:val="en-US"/>
        </w:rPr>
        <w:t xml:space="preserve">, Twenty Lectures </w:t>
      </w:r>
      <w:proofErr w:type="gramStart"/>
      <w:r w:rsidRPr="00D946F0">
        <w:rPr>
          <w:rFonts w:ascii="Times New Roman" w:hAnsi="Times New Roman"/>
          <w:sz w:val="24"/>
          <w:szCs w:val="24"/>
          <w:lang w:val="en-US"/>
        </w:rPr>
        <w:t>About</w:t>
      </w:r>
      <w:proofErr w:type="gramEnd"/>
      <w:r w:rsidRPr="00D946F0">
        <w:rPr>
          <w:rFonts w:ascii="Times New Roman" w:hAnsi="Times New Roman"/>
          <w:sz w:val="24"/>
          <w:szCs w:val="24"/>
          <w:lang w:val="en-US"/>
        </w:rPr>
        <w:t xml:space="preserve"> Gaussian</w:t>
      </w:r>
      <w:r w:rsidRPr="000538F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/>
          <w:sz w:val="24"/>
          <w:szCs w:val="24"/>
          <w:lang w:val="en-US"/>
        </w:rPr>
        <w:t>Processes. Atlantic</w:t>
      </w:r>
      <w:r w:rsidRPr="0070651C">
        <w:rPr>
          <w:rFonts w:ascii="Times New Roman" w:hAnsi="Times New Roman"/>
          <w:sz w:val="24"/>
          <w:szCs w:val="24"/>
        </w:rPr>
        <w:t xml:space="preserve"> </w:t>
      </w:r>
      <w:r w:rsidRPr="00D946F0">
        <w:rPr>
          <w:rFonts w:ascii="Times New Roman" w:hAnsi="Times New Roman"/>
          <w:sz w:val="24"/>
          <w:szCs w:val="24"/>
          <w:lang w:val="en-US"/>
        </w:rPr>
        <w:t>Financial</w:t>
      </w:r>
      <w:r w:rsidRPr="0070651C">
        <w:rPr>
          <w:rFonts w:ascii="Times New Roman" w:hAnsi="Times New Roman"/>
          <w:sz w:val="24"/>
          <w:szCs w:val="24"/>
        </w:rPr>
        <w:t xml:space="preserve"> </w:t>
      </w:r>
      <w:r w:rsidRPr="00D946F0">
        <w:rPr>
          <w:rFonts w:ascii="Times New Roman" w:hAnsi="Times New Roman"/>
          <w:sz w:val="24"/>
          <w:szCs w:val="24"/>
          <w:lang w:val="en-US"/>
        </w:rPr>
        <w:t>Press</w:t>
      </w:r>
      <w:r w:rsidRPr="0070651C">
        <w:rPr>
          <w:rFonts w:ascii="Times New Roman" w:hAnsi="Times New Roman"/>
          <w:sz w:val="24"/>
          <w:szCs w:val="24"/>
        </w:rPr>
        <w:t xml:space="preserve">, </w:t>
      </w:r>
      <w:r w:rsidRPr="00D946F0">
        <w:rPr>
          <w:rFonts w:ascii="Times New Roman" w:hAnsi="Times New Roman"/>
          <w:sz w:val="24"/>
          <w:szCs w:val="24"/>
          <w:lang w:val="en-US"/>
        </w:rPr>
        <w:t>London</w:t>
      </w:r>
      <w:r w:rsidRPr="0070651C">
        <w:rPr>
          <w:rFonts w:ascii="Times New Roman" w:hAnsi="Times New Roman"/>
          <w:sz w:val="24"/>
          <w:szCs w:val="24"/>
        </w:rPr>
        <w:t>, 2015.</w:t>
      </w:r>
    </w:p>
    <w:p w:rsidR="0070651C" w:rsidRPr="0070651C" w:rsidRDefault="0070651C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70651C" w:rsidRDefault="0070651C" w:rsidP="0070651C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70651C" w:rsidRPr="00E11371" w:rsidRDefault="0070651C" w:rsidP="0070651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70651C" w:rsidRPr="00E11371" w:rsidRDefault="00506203" w:rsidP="0070651C">
      <w:pPr>
        <w:rPr>
          <w:rFonts w:ascii="Times New Roman" w:hAnsi="Times New Roman"/>
          <w:sz w:val="24"/>
          <w:szCs w:val="24"/>
        </w:rPr>
      </w:pPr>
      <w:hyperlink r:id="rId6" w:history="1"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70651C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70651C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70651C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70651C" w:rsidRPr="00E11371" w:rsidRDefault="00506203" w:rsidP="0070651C">
      <w:pPr>
        <w:rPr>
          <w:rFonts w:ascii="Times New Roman" w:hAnsi="Times New Roman"/>
          <w:sz w:val="24"/>
          <w:szCs w:val="24"/>
        </w:rPr>
      </w:pPr>
      <w:hyperlink r:id="rId7" w:history="1">
        <w:r w:rsidR="0070651C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70651C" w:rsidRPr="00BC029D" w:rsidRDefault="00506203" w:rsidP="0070651C">
      <w:pPr>
        <w:rPr>
          <w:rFonts w:ascii="Times New Roman" w:hAnsi="Times New Roman"/>
          <w:sz w:val="24"/>
          <w:szCs w:val="24"/>
        </w:rPr>
      </w:pPr>
      <w:hyperlink r:id="rId8" w:history="1">
        <w:r w:rsidR="0070651C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70651C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70651C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70651C" w:rsidRPr="00BC029D" w:rsidRDefault="00506203" w:rsidP="0070651C">
      <w:pPr>
        <w:rPr>
          <w:rFonts w:ascii="Times New Roman" w:hAnsi="Times New Roman"/>
          <w:sz w:val="24"/>
          <w:szCs w:val="24"/>
        </w:rPr>
      </w:pPr>
      <w:hyperlink r:id="rId9" w:history="1"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70651C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70651C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70651C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70651C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70651C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70651C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70651C" w:rsidRPr="00753007" w:rsidRDefault="0070651C" w:rsidP="0070651C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lastRenderedPageBreak/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501FF"/>
    <w:multiLevelType w:val="hybridMultilevel"/>
    <w:tmpl w:val="F47823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A5B52"/>
    <w:rsid w:val="004D6057"/>
    <w:rsid w:val="004D7C53"/>
    <w:rsid w:val="004E20E8"/>
    <w:rsid w:val="004F7EF1"/>
    <w:rsid w:val="00503BC4"/>
    <w:rsid w:val="00506203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C3012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411BD"/>
    <w:rsid w:val="00660792"/>
    <w:rsid w:val="00665CD1"/>
    <w:rsid w:val="00697A7A"/>
    <w:rsid w:val="006A082E"/>
    <w:rsid w:val="006B1774"/>
    <w:rsid w:val="006B4D99"/>
    <w:rsid w:val="006D142A"/>
    <w:rsid w:val="006D5C1F"/>
    <w:rsid w:val="006E2B7C"/>
    <w:rsid w:val="006F00FC"/>
    <w:rsid w:val="0070651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10546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86878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868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87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1372</Words>
  <Characters>7824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19</cp:revision>
  <cp:lastPrinted>2014-12-19T13:38:00Z</cp:lastPrinted>
  <dcterms:created xsi:type="dcterms:W3CDTF">2015-10-29T16:52:00Z</dcterms:created>
  <dcterms:modified xsi:type="dcterms:W3CDTF">2016-01-17T20:53:00Z</dcterms:modified>
</cp:coreProperties>
</file>